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color w:val="222222"/>
          <w:highlight w:val="white"/>
          <w:rtl w:val="0"/>
        </w:rPr>
        <w:t xml:space="preserve">Товариство повідомляє, що станом на 19.04.2021 року – дату складання переліку акціонерів, що мають право на участь у річних загальних зборах акціонерів, кількість акцій в статутному капіталі Товариства становить 20 526 900 шт, з них голосуючих акцій – 20 526 900 шт.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